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B762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MENSAGEM N.º 54/2026.</w:t>
      </w:r>
    </w:p>
    <w:p w14:paraId="4FD5ED70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5D02BC6D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 Sua Excelência o Senhor</w:t>
      </w:r>
    </w:p>
    <w:p w14:paraId="4D037A2A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Presidente da Câmara Municipal de Vereadores de Dionísio Cerqueira/SC.</w:t>
      </w:r>
    </w:p>
    <w:p w14:paraId="19726B90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Câmara Municipal de Vereadores — Dionísio Cerqueira/SC.</w:t>
      </w:r>
    </w:p>
    <w:p w14:paraId="54ECD157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Assunto: </w:t>
      </w:r>
      <w:r w:rsidRPr="00EF727D">
        <w:rPr>
          <w:rFonts w:ascii="Times New Roman" w:eastAsia="Calibri" w:hAnsi="Times New Roman" w:cs="Times New Roman"/>
          <w:sz w:val="21"/>
          <w:szCs w:val="21"/>
        </w:rPr>
        <w:t>Encaminhamento do Projeto de Lei Ordinária nº ____/2026.</w:t>
      </w:r>
    </w:p>
    <w:p w14:paraId="3F910A48" w14:textId="54D3EF5F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 xml:space="preserve">           </w:t>
      </w:r>
      <w:r w:rsidRPr="00EF727D">
        <w:rPr>
          <w:rFonts w:ascii="Times New Roman" w:eastAsia="Calibri" w:hAnsi="Times New Roman" w:cs="Times New Roman"/>
          <w:sz w:val="21"/>
          <w:szCs w:val="21"/>
        </w:rPr>
        <w:t>Excelentíssimo Senhor Presidente,</w:t>
      </w:r>
    </w:p>
    <w:p w14:paraId="3A44538F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Excelentíssimos Senhores Vereadores e Senhora Vereadora,</w:t>
      </w:r>
    </w:p>
    <w:p w14:paraId="2926A34D" w14:textId="5B410D81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           </w:t>
      </w:r>
      <w:r w:rsidRPr="00EF727D">
        <w:rPr>
          <w:rFonts w:ascii="Times New Roman" w:eastAsia="Calibri" w:hAnsi="Times New Roman" w:cs="Times New Roman"/>
          <w:sz w:val="21"/>
          <w:szCs w:val="21"/>
        </w:rPr>
        <w:t>Tenho a honra de submeter à elevada apreciação dessa Egrégia Casa Legislativa o anexo Projeto de Lei Ordinária que:</w:t>
      </w:r>
    </w:p>
    <w:p w14:paraId="4A538648" w14:textId="77777777" w:rsidR="00EF727D" w:rsidRPr="00EF727D" w:rsidRDefault="00EF727D" w:rsidP="00EF727D">
      <w:pPr>
        <w:spacing w:after="120" w:line="256" w:lineRule="auto"/>
        <w:ind w:left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“</w:t>
      </w:r>
      <w:r w:rsidRPr="00EF727D">
        <w:rPr>
          <w:rFonts w:ascii="Times New Roman" w:eastAsia="Calibri" w:hAnsi="Times New Roman" w:cs="Times New Roman"/>
          <w:i/>
          <w:iCs/>
          <w:sz w:val="21"/>
          <w:szCs w:val="21"/>
        </w:rPr>
        <w:t>Regulamenta a circulação de ciclomotores, bicicletas elétricas e equipamentos de mobilidade individual autopropelidos em vias urbanas do Município de Dionísio Cerqueira/SC, institui o Cadastro Municipal Obrigatório, define regras de segurança e as infrações administrativas às posturas municipais de ordenamento urbano, outorga poder de polícia à Polícia Militar do Estado de Santa Catarina com destinação de 40% da receita arrecadada ao FUMPOM, cria a Comissão Julgadora de Recursos de Posturas, e dá outras providências.</w:t>
      </w:r>
      <w:r w:rsidRPr="00EF727D">
        <w:rPr>
          <w:rFonts w:ascii="Times New Roman" w:eastAsia="Calibri" w:hAnsi="Times New Roman" w:cs="Times New Roman"/>
          <w:sz w:val="21"/>
          <w:szCs w:val="21"/>
        </w:rPr>
        <w:t>”</w:t>
      </w:r>
    </w:p>
    <w:p w14:paraId="015352AC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A proposição responde ao crescimento vertiginoso do fluxo de ciclomotores, bicicletas elétricas e patinetes nas vias públicas municipais. Conquanto representem instrumentos valiosos de mobilidade sustentável, a ausência de parametrização local específica vinha gerando graves riscos à segurança viária e à integridade dos transeuntes, especialmente crianças, idosos e pessoas com deficiência. </w:t>
      </w:r>
    </w:p>
    <w:p w14:paraId="74975424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O texto reflete uma construção técnica amadurecida no âmbito da Administração Municipal, em convergência direta com as diretrizes do Código de Trânsito Brasileiro (CTB), da Resolução CONTRAN nº 996/2023 e em atendimento aos compromissos institucionais decorrentes da Recomendação nº 0001/2026/01PJ/DCE, expedida pela Promotoria de Justiça da Comarca de Dionísio Cerqueira nos autos do Procedimento Administrativo nº 09.2025.00007140-2. </w:t>
      </w:r>
    </w:p>
    <w:p w14:paraId="6C83EA1A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O projeto institui normas claras de convivência urbana — destacando-se a obrigatoriedade do capacete para todos os modais, a proibição de circulação motorizada sobre calçadas, a criação do Cadastro Municipal com responsabilização formal dos genitores de condutores menores e a reciprocidade cadastral no âmbito do Consórcio Intermunicipal da Fronteira (CIF), além de dotar a Polícia Militar de respaldo legal para fiscalizar as posturas municipais com compensação financeira ao FUMPOM local. </w:t>
      </w:r>
    </w:p>
    <w:p w14:paraId="1BB8EAF2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Por se tratar de matéria de incontestável e premente interesse público voltada à salvaguarda de vidas humanas e ao ordenamento urbano, solicito a tramitação da proposição com a devida prioridade regimental, renovando a Vossas Excelências os protestos de elevado apreço e distinta consideração.</w:t>
      </w:r>
    </w:p>
    <w:p w14:paraId="201A175D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Dionísio Cerqueira/SC, 26 de outubro de 2026.</w:t>
      </w:r>
    </w:p>
    <w:p w14:paraId="23FF0F46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Atenciosamente,</w:t>
      </w:r>
    </w:p>
    <w:p w14:paraId="0AF9A4A9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262E8BA9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BIANCA MOREIRA MARAN BERTAMONI</w:t>
      </w:r>
    </w:p>
    <w:p w14:paraId="62B0A8EF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Prefeita Municipal</w:t>
      </w:r>
    </w:p>
    <w:p w14:paraId="2E4DD129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A5DE0CA" w14:textId="77777777" w:rsidR="00EF727D" w:rsidRPr="00EF727D" w:rsidRDefault="00EF727D" w:rsidP="00EF727D">
      <w:pPr>
        <w:spacing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PROJETO DE LEI Nº ___/2026.</w:t>
      </w:r>
    </w:p>
    <w:p w14:paraId="7E85AFD9" w14:textId="77777777" w:rsidR="00EF727D" w:rsidRPr="00EF727D" w:rsidRDefault="00EF727D" w:rsidP="00EF727D">
      <w:pPr>
        <w:spacing w:before="120" w:after="120" w:line="256" w:lineRule="auto"/>
        <w:ind w:left="3402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REGULAMENTA A CIRCULAÇÃO DE CICLOMOTORES, BICICLETAS ELÉTRICAS E EQUIPAMENTOS DE MOBILIDADE INDIVIDUAL AUTOPROPELIDOS EM VIAS URBANAS DO MUNICÍPIO DE DIONÍSIO CERQUEIRA/SC, INSTITUI O CADASTRO MUNICIPAL OBRIGATÓRIO, DEFINE REGRAS DE SEGURANÇA E AS INFRAÇÕES ADMINISTRATIVAS ÀS POSTURAS MUNICIPAIS DE ORDENAMENTO URBANO, CRIA A COMISSÃO JULGADORA DE RECURSOS DE POSTURAS, E DÁ OUTRAS PROVIDÊNCIAS.</w:t>
      </w:r>
    </w:p>
    <w:p w14:paraId="69B80B7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PREFEITA MUNICIPAL DE DIONÍSIO CERQUEIRA</w:t>
      </w:r>
      <w:r w:rsidRPr="00EF727D">
        <w:rPr>
          <w:rFonts w:ascii="Times New Roman" w:eastAsia="Calibri" w:hAnsi="Times New Roman" w:cs="Times New Roman"/>
          <w:sz w:val="21"/>
          <w:szCs w:val="21"/>
        </w:rPr>
        <w:t>, Estado de Santa Catarina, no uso de suas atribuições legais conferidas pela Lei Orgânica Municipal, faz saber a todos os habitantes deste Município que a Câmara Municipal de Vereadores aprovou e ela sanciona a seguinte Lei:</w:t>
      </w:r>
    </w:p>
    <w:p w14:paraId="549BF8BE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I</w:t>
      </w:r>
    </w:p>
    <w:p w14:paraId="7EA2732D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DAS DISPOSIÇÕES GERAIS E DAS DEFINIÇÕES</w:t>
      </w:r>
    </w:p>
    <w:p w14:paraId="3929839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Esta Lei regulamenta, no âmbito das vias públicas urbanas sob circunscrição do Município de Dionísio Cerqueira, as condições de circulação, segurança, registro e fiscalização de ciclomotores, bicicletas elétricas e equipamentos de mobilidade individual autopropelidos, em observância à Lei Federal nº 9.503/1997 (Código de Trânsito Brasileiro - CTB) e à Resolução CONTRAN nº 996/2023.</w:t>
      </w:r>
    </w:p>
    <w:p w14:paraId="08AA875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Aplicam-se, quanto às definições, características técnicas, itens de segurança de fábrica, registro e habilitação, as disposições do CTB e das resoluções do Conselho Nacional de Trânsito (CONTRAN), sem prejuízo das normas suplementares de ordenamento urbano fixadas nesta Lei.</w:t>
      </w:r>
    </w:p>
    <w:p w14:paraId="1116A04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Submetem-se aos preceitos desta Lei todos os veículos e equipamentos nela previstos, de propriedade particular ou disponibilizados por pessoas jurídicas mediante sistemas comerciais de locação ou compartilhamento em plataforma digital, quando em circulação no território municipal.</w:t>
      </w:r>
    </w:p>
    <w:p w14:paraId="2C1043F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os efeitos desta Lei, adotam-se as seguintes definições:</w:t>
      </w:r>
    </w:p>
    <w:p w14:paraId="070C826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 Ciclomotor: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veículo de 2 (duas) ou 3 (três) rodas, provido de motor de combustão interna com cilindrada de até 50 cm³ ou de motor elétrico com potência máxima de até 4 kW, cuja velocidade máxima de fabricação não exceda 50 km/h;</w:t>
      </w:r>
    </w:p>
    <w:p w14:paraId="05F4305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 Bicicleta Elétrica: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veículo de propulsão humana dotado de motor auxiliar elétrico de potência nominal máxima de até 1000 W, que funcione exclusivamente com sistema de pedal assistido (sem acelerador manual) e velocidade de propulsão do motor auxiliar não superior a 32 km/h;</w:t>
      </w:r>
    </w:p>
    <w:p w14:paraId="03EF61E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III - Equipamento de Mobilidade Individual Autopropelido: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equipamento dotado de uma ou mais rodas, provido de motor elétrico com potência nominal máxima de até 1000 W (ou até 4000 W no caso de monociclos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autoequilibrados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>), largura não superior a 70 cm, distância entre eixos de até 130 cm e velocidade máxima de fabricação não superior a 32 km/h.</w:t>
      </w:r>
    </w:p>
    <w:p w14:paraId="118BD521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II</w:t>
      </w:r>
    </w:p>
    <w:p w14:paraId="3C7C1048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DA CIRCULAÇÃO DE CICLOMOTORES</w:t>
      </w:r>
    </w:p>
    <w:p w14:paraId="7E8963F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3º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circulação de ciclomotores é permitida nas vias urbanas do Município estritamente sobre a pista de rolamento e no mesmo sentido regulamentado para os veículos automotores, respeitados os limites de velocidade da via e a velocidade de projeto do veículo.</w:t>
      </w:r>
    </w:p>
    <w:p w14:paraId="77CCAAF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terminantemente vedada a circulação de ciclomotores em vias de trânsito rápido e nas pistas centrais das Rodovias Federais (BRs) que cortam o perímetro urbano municipal, salvo onde houver acostamento segregado ou faixa lateral própria de tráfego seguro.</w:t>
      </w:r>
    </w:p>
    <w:p w14:paraId="01C85E7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a condução de ciclomotores, é exigida a maioridade civil, a penal imputabilidade do condutor e a devida habilitação por meio de Autorização para Conduzir Ciclomotor (ACC) ou Carteira Nacional de Habilitação (CNH) na Categoria A, além do porte do licenciamento do veículo (RENAVAM).</w:t>
      </w:r>
    </w:p>
    <w:p w14:paraId="7EDDAC4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4º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Os ciclomotores devem transitar obrigatoriamente:</w:t>
      </w:r>
    </w:p>
    <w:p w14:paraId="192671C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Pelo bordo direito da pista de rolamento ou, quando a via dispuser de duas ou mais faixas de mesmo sentido, preferencialmente pelo centro da faixa mais à direita;</w:t>
      </w:r>
    </w:p>
    <w:p w14:paraId="72E82F1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Pela faixa adjacente à da direita, caso a faixa mais externa seja regulamentada para o uso exclusivo de outro tipo de veículo.</w:t>
      </w:r>
    </w:p>
    <w:p w14:paraId="5062937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5º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proibida a circulação de ciclomotores sobre calçadas, passeios, praças, calçadões e infraestruturas cicláveis (ciclovias, ciclofaixas e ciclorrotas).</w:t>
      </w:r>
    </w:p>
    <w:p w14:paraId="70C0127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Parágrafo único.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vedada a parada e o estacionamento de ciclomotores em áreas de pedestres e em faixas cicláveis, devendo ser utilizadas as vagas de estacionamento regular de veículos de duas rodas.</w:t>
      </w:r>
    </w:p>
    <w:p w14:paraId="1391886C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III</w:t>
      </w:r>
    </w:p>
    <w:p w14:paraId="512B5067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DA CIRCULAÇÃO DE BICICLETAS ELÉTRICAS</w:t>
      </w:r>
    </w:p>
    <w:p w14:paraId="05B86FF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6º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circulação de bicicletas elétricas dar-se-á, preferencialmente, nas ciclovias, ciclofaixas e ciclorrotas implantadas pelo Município, respeitados os limites máximos de velocidade devidamente sinalizados.</w:t>
      </w:r>
    </w:p>
    <w:p w14:paraId="0FAC037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7º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Na ausência de infraestrutura cicloviária segregada, a bicicleta elétrica circulará no acostamento ou, inexistindo este, no bordo direito da pista de rolamento, no mesmo sentido do fluxo, não podendo exceder a velocidade máxima de propulsão auxiliar de 32 km/h nem o limite de velocidade fixado para a via.</w:t>
      </w:r>
    </w:p>
    <w:p w14:paraId="550DB09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8º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terminantemente proibida a circulação montada de bicicletas elétricas com o motor em funcionamento sobre calçadas, calçadões e passeios públicos.</w:t>
      </w:r>
    </w:p>
    <w:p w14:paraId="093B775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transitar por calçadas, travessias e áreas de pedestres, o condutor deverá obrigatoriamente estar desmontado e empurrando a bicicleta elétrica desligada, equiparando-se ao pedestre em direitos e deveres.</w:t>
      </w:r>
    </w:p>
    <w:p w14:paraId="495DA46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trânsito montado em passeios somente será admitido quando houver trecho expressamente sinalizado pelo órgão municipal autorizando a circulação compartilhada, hipótese em que a velocidade máxima será limitada a 6 km/h e o pedestre gozará de prioridade absoluta de passagem.</w:t>
      </w:r>
    </w:p>
    <w:p w14:paraId="28783FC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9º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parada e o estacionamento de bicicletas elétricas não poderão obstruir o fluxo de pedestres, o acesso a garagens ou as entradas de estabelecimentos de saúde e de ensino.</w:t>
      </w:r>
    </w:p>
    <w:p w14:paraId="2832CE7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Parágrafo único.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Executivo Municipal poderá demarcar pontos de ancoragem e paraciclos públicos específicos, inclusive para viabilizar serviços comerciais de compartilhamento.</w:t>
      </w:r>
    </w:p>
    <w:p w14:paraId="40288985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CAPÍTULO IV</w:t>
      </w:r>
    </w:p>
    <w:p w14:paraId="6E3093AC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DA CIRCULAÇÃO DE EQUIPAMENTOS AUTOPROPELIDOS</w:t>
      </w:r>
    </w:p>
    <w:p w14:paraId="589E1DF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10.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Os equipamentos de mobilidade individual autopropelidos circularão prioritariamente em ciclovias, ciclofaixas e ciclorrotas, observadas as velocidades máximas sinalizadas.</w:t>
      </w:r>
    </w:p>
    <w:p w14:paraId="44EFE5D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11.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Nas áreas de circulação exclusiva de pedestres (calçadas e calçadões), é vedada a condução do equipamento com motor acionado, devendo o condutor circular desmontado e empurrando o equipamento desligado.</w:t>
      </w:r>
    </w:p>
    <w:p w14:paraId="42515EE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Parágrafo único.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tráfego montado poderá ser autorizado exclusivamente em vias ou calçadas com sinalização regulamentadora específica de compartilhamento, respeitado o limite de 6 km/h e a prioridade absoluta ao pedestre.</w:t>
      </w:r>
    </w:p>
    <w:p w14:paraId="46B23F5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12.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Na ausência de ciclovias ou ciclofaixas, admite-se a circulação de autopropelidos pelos acostamentos ou pelo bordo direito das vias urbanas, no mesmo sentido do trânsito.</w:t>
      </w:r>
    </w:p>
    <w:p w14:paraId="3F35101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proibida a circulação de autopropelidos em vias com velocidade máxima regulamentar superior a 40 km/h, bem como nas pistas de rolamento de rodovias federais ou estaduais que atravessem o Município.</w:t>
      </w:r>
    </w:p>
    <w:p w14:paraId="71B775F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As restrições deste artigo e do Art. 11 não se aplicam a cadeiras de rodas motorizadas e a equipamentos específicos destinados à locomoção de pessoas com deficiência ou com mobilidade reduzida, os quais observarão a velocidade máxima de segurança compatível com os pedestres (até 6 km/h nas calçadas).</w:t>
      </w:r>
    </w:p>
    <w:p w14:paraId="263520E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13.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estacionamento de equipamentos autopropelidos em passeios e calçadões restringe-se aos mobiliários e áreas autorizadas pela Prefeitura, sendo proibido o abandono do equipamento que gere prejuízo à mobilidade ou à acessibilidade urbana.</w:t>
      </w:r>
    </w:p>
    <w:p w14:paraId="5F3C2325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V</w:t>
      </w:r>
    </w:p>
    <w:p w14:paraId="211D2B7E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DOS EQUIPAMENTOS OBRIGATÓRIOS E NORMAS DE SEGURANÇA</w:t>
      </w:r>
    </w:p>
    <w:p w14:paraId="771A4D9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14.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a circulação nas vias públicas municipais, é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obrigatória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utilização de capacete de segurança afixado à cabeça por todos os condutores e passageiros de ciclomotores, bicicletas elétricas e autopropelidos, sem exceção:</w:t>
      </w:r>
    </w:p>
    <w:p w14:paraId="471EE13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condutores e passageiros de ciclomotores: capacete de segurança para motociclistas dotado de viseira ou com óculos de proteção integral, certificado pelo INMETRO;</w:t>
      </w:r>
    </w:p>
    <w:p w14:paraId="06B2A22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condutores de bicicletas elétricas e autopropelidos: capacete ciclístico devidamente afixado, ajustado aos padrões da norma NBR 16.175.</w:t>
      </w:r>
    </w:p>
    <w:p w14:paraId="0E04256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15.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Constituem itens de dotação e funcionamento obrigatórios nos equipamentos:</w:t>
      </w:r>
    </w:p>
    <w:p w14:paraId="501B11A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 Bicicletas Elétricas: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indicador de velocidade (velocímetro ou aplicativo em dispositivo móvel com suporte seguro), campainha ou buzina, sinalização noturna dianteira, traseira, lateral e nos pedais, espelho retrovisor fixado no lado esquerdo e pneus em boas condições operacionais;</w:t>
      </w:r>
    </w:p>
    <w:p w14:paraId="3981AAA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 Autopropelidos: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dispositivo limitador ou indicador eletrônico de velocidade, campainha ou buzina, sinalização noturna dianteira, traseira, lateral e nos pedais, espelho retrovisor fixado no lado esquerdo e pneus em boas condições operacionais;</w:t>
      </w:r>
    </w:p>
    <w:p w14:paraId="3E7BD6B4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III - Ciclomotores: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todos os itens previstos pelo CTB e resoluções do CONTRAN, compreendendo espelhos em ambos os lados, farol dianteiro, lanterna de freio, setas direcionais, velocímetro, buzina e placa de identificação lacrada.</w:t>
      </w:r>
    </w:p>
    <w:p w14:paraId="2FE886A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16.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expressamente vedado ao condutor de qualquer dos veículos ou equipamentos tratados nesta Lei:</w:t>
      </w:r>
    </w:p>
    <w:p w14:paraId="0683085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Trafegar na contramão de direção da via;</w:t>
      </w:r>
    </w:p>
    <w:p w14:paraId="6BE3D09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Conduzir o equipamento manuseando, consultando ou segurando aparelho de telefone celular, bem como utilizar fones de ouvido conectados a aparelhos sonoros;</w:t>
      </w:r>
    </w:p>
    <w:p w14:paraId="1DC6FD2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Conduzir com apenas uma das mãos no guidão, exceto momentaneamente para executar gestos regulamentares de sinalização de manobra;</w:t>
      </w:r>
    </w:p>
    <w:p w14:paraId="75EAFDE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IV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Conduzir utilizando calçados que não se firmem aos pés (como chinelos de dedo ou calçados desprovidos de fixação no calcanhar) ou que comprometam o controle dos pedais e freios;</w:t>
      </w:r>
    </w:p>
    <w:p w14:paraId="531BC2B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V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Avançar o sinal vermelho do semáforo, desrespeitar a sinalização de parada obrigatória (“PARE”) ou interceptar a preferência de veículos em rotatórias e cruzamentos;</w:t>
      </w:r>
    </w:p>
    <w:p w14:paraId="6B08BB44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VI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Deixar de conceder preferência de passagem aos pedestres que se encontrem na faixa a eles destinada ou concluindo a travessia;</w:t>
      </w:r>
    </w:p>
    <w:p w14:paraId="49051E0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VII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Transportar passageiros em número superior à capacidade de projeto ou fora de assentos homologados pelo fabricante;</w:t>
      </w:r>
    </w:p>
    <w:p w14:paraId="645DFC5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VIII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Transportar animais ou cargas em desacordo com as dimensões de segurança ou fora de baús, alforjes ou mochilas próprias que não prejudiquem a estabilidade da condução;</w:t>
      </w:r>
    </w:p>
    <w:p w14:paraId="04A64A8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IX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Modificar, violar ou adaptar o motor e o limitador eletrônico com a finalidade de elevar a velocidade e a potência acima dos patamares máximos fixados pela regulamentação federal.</w:t>
      </w:r>
    </w:p>
    <w:p w14:paraId="7A8519D7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VI</w:t>
      </w:r>
    </w:p>
    <w:p w14:paraId="5F3D4B48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DO CADASTRO MUNICIPAL E DAS RESPONSABILIDADES</w:t>
      </w:r>
    </w:p>
    <w:p w14:paraId="4D7E04D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17.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Fica instituído o Cadastro Municipal de Equipamentos de Mobilidade Individual Autopropelidos e Bicicletas Elétricas, coordenado pela Secretaria Municipal de Administração e pelo Departamento de Tributação e Fiscalização, destinado à identificação civil dos condutores, dos proprietários e do registro do bem.</w:t>
      </w:r>
    </w:p>
    <w:p w14:paraId="768D67D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inscrição no Cadastro Municipal é gratuita e de caráter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obrigatório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para:</w:t>
      </w:r>
    </w:p>
    <w:p w14:paraId="29D600A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Condutores menores de idade compreendidos na faixa etária entre 14 (quatorze) e 17 (dezessete) anos;</w:t>
      </w:r>
    </w:p>
    <w:p w14:paraId="11E47E4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Condutores maiores de 18 (dezoito) anos que não possuam Carteira Nacional de Habilitação (CNH) ou ACC.</w:t>
      </w:r>
    </w:p>
    <w:p w14:paraId="05CE5C8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condutor que já for titular de CNH ou ACC em situação regular fica desobrigado do cadastro pessoal de condutor, bastando o porte de seu documento de habilitação com foto ou apresentação da versão digital oficial perante a fiscalização.</w:t>
      </w:r>
    </w:p>
    <w:p w14:paraId="58C0EAA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3º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registro do equipamento no Cadastro Municipal conterá:</w:t>
      </w:r>
    </w:p>
    <w:p w14:paraId="7BF7F92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Dados do Proprietário e Condutores autorizados: nome completo, CPF, documento oficial de identidade, endereço com comprovante de residência no Município e telefone de contato;</w:t>
      </w:r>
    </w:p>
    <w:p w14:paraId="731EA5E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Dados Técnicos do Equipamento: marca, modelo, número de série gravado no quadro/chassi, potência nominal declarada (em Watts), cor predominante e nota fiscal ou declaração formal de procedência lícita.</w:t>
      </w:r>
    </w:p>
    <w:p w14:paraId="79D0AE64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4º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Realizado o registro do equipamento, o Município fornecerá selo numérico ou elemento QR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Code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adesivo de fixação visível na estrutura, para controle de fiscalização e auxílio na apuração de furtos ou extravios.</w:t>
      </w:r>
    </w:p>
    <w:p w14:paraId="55BF3A2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18.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o cadastramento e condução de bicicletas elétricas e autopropelidos por menores entre 14 (quatorze) e 17 (dezessete) anos de idade, é requisito indispensável o comparecimento presencial de um dos pais ou do tutor/responsável legal para preenchimento e assinatura do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Termo de Responsabilidade e Compromisso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constante do Anexo I desta Lei.</w:t>
      </w:r>
    </w:p>
    <w:p w14:paraId="24278FF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É proibida a condução de bicicletas elétricas e autopropelidos em vias públicas municipais por menores com idade inferior a 14 (quatorze) anos.</w:t>
      </w:r>
    </w:p>
    <w:p w14:paraId="1CCAB26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Pela assinatura do Termo de Responsabilidade e Compromisso, o genitor ou responsável legal assume solidariamente perante o Município e terceiros:</w:t>
      </w:r>
    </w:p>
    <w:p w14:paraId="2729D6D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obrigação de saldar quaisquer multas administrativas decorrentes do descumprimento das normas de postura fixadas nesta Lei cometidas pelo menor;</w:t>
      </w:r>
    </w:p>
    <w:p w14:paraId="0B23679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obrigação de responder financeira e civilmente pela reparação integral de danos causados pelo menor a outros veículos, a transeuntes ou ao patrimônio público municipal, autorizando expressamente a propositura de ação de regresso pela Procuradoria-Geral do Município.</w:t>
      </w:r>
    </w:p>
    <w:p w14:paraId="68491CB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19.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Em observância aos princípios da cooperação interfederativa, eficiência e razoabilidade, e no âmbito do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Consórcio Intermunicipal da Fronteira (CIF)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— integrado pelos Municípios de Dionísio Cerqueira/SC, Barracão/PR e Bom Jesus do Sul/PR —, o Município de Dionísio Cerqueira reconhece a plena validade e eficácia dos cadastros de usuários de micromobilidade emitidos pelos entes consorciados parceiros.</w:t>
      </w:r>
    </w:p>
    <w:p w14:paraId="57E04A3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condutor residente e domiciliado nos Municípios de Barracão/PR ou Bom Jesus do Sul/PR que comprove prévia inscrição ativa e regular no cadastro municipal de seu respectivo domicílio fica dispensado de realizar novo cadastramento perante o Município de Dionísio Cerqueira.</w:t>
      </w:r>
    </w:p>
    <w:p w14:paraId="528AF0D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usufruir da dispensa prevista no § 1º deste artigo durante a circulação nas vias públicas de Dionísio Cerqueira, o condutor deverá:</w:t>
      </w:r>
    </w:p>
    <w:p w14:paraId="3747884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Portar e apresentar à fiscalização, em meio físico ou digital, a certidão, comprovante ou credencial de cadastro válido expedido pelo seu Município de origem;</w:t>
      </w:r>
    </w:p>
    <w:p w14:paraId="4E431F5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Manter afixado no equipamento o elemento de identificação visual (selo, plaqueta ou QR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Code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>) emitido pelo órgão competente do Município consorciado.</w:t>
      </w:r>
    </w:p>
    <w:p w14:paraId="00175FB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3º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Tratando-se de condutor menor de idade, entre 14 (quatorze) e 17 (dezessete) anos, a dispensa de novo cadastramento condiciona-se à existência de Termo de Responsabilidade e Compromisso — ou documento equivalente — firmado por seus pais ou responsável legal perante a administração de seu Município de residência, mantendo-se a responsabilidade solidária dos genitores e o direito de regresso do Município de Dionísio Cerqueira em caso de danos ao patrimônio público ou a terceiros ocorridos em território cerqueirense.</w:t>
      </w:r>
    </w:p>
    <w:p w14:paraId="1BBFF86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4º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Poder Executivo Municipal, por intermédio da Secretaria Municipal de Planejamento e em articulação com as instâncias executivas do CIF, poderá formalizar rotinas administrativas para o </w:t>
      </w:r>
      <w:r w:rsidRPr="00EF727D">
        <w:rPr>
          <w:rFonts w:ascii="Times New Roman" w:eastAsia="Calibri" w:hAnsi="Times New Roman" w:cs="Times New Roman"/>
          <w:sz w:val="21"/>
          <w:szCs w:val="21"/>
        </w:rPr>
        <w:lastRenderedPageBreak/>
        <w:t>compartilhamento e a consulta recíproca dos bancos de dados e registros de micromobilidade entre as cidades que integram o consórcio.</w:t>
      </w:r>
    </w:p>
    <w:p w14:paraId="2EA84F3F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VII</w:t>
      </w:r>
    </w:p>
    <w:p w14:paraId="09F4F93C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DA FISCALIZAÇÃO, INFRAÇÕES E SANÇÕES ADMINISTRATIVAS</w:t>
      </w:r>
    </w:p>
    <w:p w14:paraId="160A220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20.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fiscalização do cumprimento das normas desta Lei e do ordenamento viário urbano será exercida conjuntamente pela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Polícia Militar do Estado de Santa Catarina (PMSC)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 pelos fiscais de posturas do Município.</w:t>
      </w:r>
    </w:p>
    <w:p w14:paraId="1DC7447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Fica expressamente outorgado aos policiais militares da PMSC, no exercício regular da cooperação federativa com o Município, 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poder-dever de fiscalizar as condutas disciplinadas nesta Lei, ordenar a retenção e apreensão dos equipamentos irregulares e lavrar o Auto de Infração Administrativa de Postura Municipal</w:t>
      </w:r>
      <w:r w:rsidRPr="00EF727D">
        <w:rPr>
          <w:rFonts w:ascii="Times New Roman" w:eastAsia="Calibri" w:hAnsi="Times New Roman" w:cs="Times New Roman"/>
          <w:sz w:val="21"/>
          <w:szCs w:val="21"/>
        </w:rPr>
        <w:t>, relativo à penalidade pecuniária de 2 (duas) UFM.</w:t>
      </w:r>
    </w:p>
    <w:p w14:paraId="009AB41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formulário ou sistema eletrônico de registro da infração administrativa de postura preenchido pelo policial militar será encaminhado à Secretaria Municipal de Planejamento para fins de formalização, homologação e cobrança perante o infrator ou seu responsável legal.</w:t>
      </w:r>
    </w:p>
    <w:p w14:paraId="49FACF6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21.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As condutas com ciclomotores, bicicletas elétricas e autopropelidos que violem as normas gerais de trânsito em vias públicas sujeitam-se diretamente aos tipos infracionais, às penalidades de multa e às medidas administrativas positivadas na Lei Federal nº 9.503/1997 (CTB), autuadas pela PMSC mediante os sistemas integrados do DETRAN/SC.</w:t>
      </w:r>
    </w:p>
    <w:p w14:paraId="35F3C3D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22.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Sem prejuízo das penalidades do CTB, constituem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Infrações Administrativas às Posturas Municipais de Ordenamento Urbano</w:t>
      </w:r>
      <w:r w:rsidRPr="00EF727D">
        <w:rPr>
          <w:rFonts w:ascii="Times New Roman" w:eastAsia="Calibri" w:hAnsi="Times New Roman" w:cs="Times New Roman"/>
          <w:sz w:val="21"/>
          <w:szCs w:val="21"/>
        </w:rPr>
        <w:t>, sob o exercício do poder de polícia administrativa local:</w:t>
      </w:r>
    </w:p>
    <w:p w14:paraId="63ABF19B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Conduzir bicicleta elétrica ou equipamento autopropelido nas vias ou passeios públicos desprovido do Cadastro Municipal Obrigatório (quando o condutor for obrigado a fazê-lo) ou sem a identificação do selo/QR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Code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fixado no equipamento;</w:t>
      </w:r>
    </w:p>
    <w:p w14:paraId="5660A87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Permitir, entregar ou confiar a condução de bicicleta elétrica ou equipamento autopropelido em via pública a menor com idade inferior a 14 (quatorze) anos, ou a menor desprovido do Termo de Compromisso assinado por seus responsáveis legais;</w:t>
      </w:r>
    </w:p>
    <w:p w14:paraId="552CB3C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Transitar montado em calçadas, passeios, praças e calçadões que não possuam regulamentação e sinalização específica de compartilhamento emitida pela autoridade municipal;</w:t>
      </w:r>
    </w:p>
    <w:p w14:paraId="2EFAAAF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IV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Estacionar, abandonar ou posicionar o veículo/equipamento de forma a embaraçar ou impedir a circulação de pedestres, cadeirantes ou outros veículos, bem como bloquear guias rebaixadas de acessibilidade;</w:t>
      </w:r>
    </w:p>
    <w:p w14:paraId="617EC53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V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Conduzir em desacordo com as normas de segurança e vedações expressas fixadas no Art. 14, Art. 15 e Art. 16 desta Lei.</w:t>
      </w:r>
    </w:p>
    <w:p w14:paraId="57609AE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23.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Pelo cometimento das infrações administrativas dispostas no Art. 21, o infrator e/ou o responsável signatário do Termo de Responsabilidade sujeitar-se-ão às seguintes penalidades e medidas administrativas, aplicáveis cumulativamente:</w:t>
      </w:r>
    </w:p>
    <w:p w14:paraId="3022AA04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Notificação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formal de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Advertência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por escrito, com finalidade pedagógica e educativa, admitida apenas para a primeira infração leve no período de 12 (doze) meses;</w:t>
      </w:r>
    </w:p>
    <w:p w14:paraId="3CE1341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 Multa Administrativa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Municipal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no valor fixado em 2 (duas) UFM (Unidades Fiscais do Município), aplicada em dobro no caso de reincidência específica no prazo de 12 (doze) meses;</w:t>
      </w:r>
    </w:p>
    <w:p w14:paraId="269851F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III - Retenção do equipamento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para saneamento da falta no local, quando passível de regularização imediata;</w:t>
      </w:r>
    </w:p>
    <w:p w14:paraId="3C8E258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IV - Remoção e Apreensão do equipamento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ao pátio público municipal ou ao depósito conveniado.</w:t>
      </w:r>
    </w:p>
    <w:p w14:paraId="3441DAD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24.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Dar-se-á a remoção e apreensão do equipamento nas seguintes situações operacionais:</w:t>
      </w:r>
    </w:p>
    <w:p w14:paraId="5D74880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Quando a irregularidade não for sanada no ato da abordagem fiscalizatória;</w:t>
      </w:r>
    </w:p>
    <w:p w14:paraId="5A9330E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Quando for conduzido por menor de idade sem a presença ou autorização formal do responsável legal;</w:t>
      </w:r>
    </w:p>
    <w:p w14:paraId="5BC92A1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Quando abandonado em via ou passeio público obstruindo a circulação;</w:t>
      </w:r>
    </w:p>
    <w:p w14:paraId="4F60E2C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IV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Quando for constatada a ausência de Cadastro Municipal Obrigatório e recusa de identificação pessoal.</w:t>
      </w:r>
    </w:p>
    <w:p w14:paraId="52E933D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1º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restituição do equipamento apreendido condiciona-se obrigatoriamente a:</w:t>
      </w:r>
    </w:p>
    <w:p w14:paraId="57761AB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Quitação integral das taxas e custos operacionais de remoção (guincho) e de permanência no depósito (diárias de pátio);</w:t>
      </w:r>
    </w:p>
    <w:p w14:paraId="68EAC77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Pagamento da respectiva multa administrativa municipal;</w:t>
      </w:r>
    </w:p>
    <w:p w14:paraId="11F4531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III -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Regularização cadastral perante a Secretaria Municipal de Planejamento e comprovação de propriedade legítima.</w:t>
      </w:r>
    </w:p>
    <w:p w14:paraId="652562A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§ 2º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equipamento removido e não reclamado por seu legítimo proprietário no prazo de 60 (sessenta) dias, a contar da data de notificação formal ou editalícia, será avaliado e submetido a hasta pública (leilão) ou destinação social/reciclagem, na forma autorizada pelo art. 328 do CTB.</w:t>
      </w:r>
    </w:p>
    <w:p w14:paraId="6646F982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VIII</w:t>
      </w:r>
    </w:p>
    <w:p w14:paraId="4BDEE3B1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DO PROCESSO ADMINISTRATIVO E DOS RECURSOS</w:t>
      </w:r>
    </w:p>
    <w:p w14:paraId="40D1D39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25.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processamento das autuações, a notificação dos responsáveis e os prazos de defesa obedecerão aos princípios da ampla defesa e do contraditório.</w:t>
      </w:r>
    </w:p>
    <w:p w14:paraId="4CB037D4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26.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competência para processamento e julgamento dos recursos administrativos rege-se pela seguinte repartição de atribuições:</w:t>
      </w:r>
    </w:p>
    <w:p w14:paraId="1F5A9B4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 Para as infrações de trânsito baseadas no CTB: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os recursos das penalidades aplicadas pela PMSC em vias municipais serão julgados pela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Junta Administrativa de Recursos de Infrações (JARI) vinculada ao DETRAN/SC</w:t>
      </w:r>
      <w:r w:rsidRPr="00EF727D">
        <w:rPr>
          <w:rFonts w:ascii="Times New Roman" w:eastAsia="Calibri" w:hAnsi="Times New Roman" w:cs="Times New Roman"/>
          <w:sz w:val="21"/>
          <w:szCs w:val="21"/>
        </w:rPr>
        <w:t>, em estrita observância à Cláusula Sexta do Convênio de Trânsito nº 04/DETRAN/2026 firmado pelo Município de Dionísio Cerqueira;</w:t>
      </w:r>
    </w:p>
    <w:p w14:paraId="7203D5C5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II - Para as Infrações Administrativas às Posturas Municipais de Ordenamento Urbano:</w:t>
      </w:r>
    </w:p>
    <w:p w14:paraId="182CE4C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a) Fica instituída 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Comissão Julgadora de Recursos de Posturas Municipais (CJRPM)</w:t>
      </w:r>
      <w:r w:rsidRPr="00EF727D">
        <w:rPr>
          <w:rFonts w:ascii="Times New Roman" w:eastAsia="Calibri" w:hAnsi="Times New Roman" w:cs="Times New Roman"/>
          <w:sz w:val="21"/>
          <w:szCs w:val="21"/>
        </w:rPr>
        <w:t>, órgão colegiado de primeira instância vinculado à Secretaria Municipal de Planejamento, composto por 3 (três) servidores municipais titulares e respectivos suplentes designados por Decreto da Chefe do Poder Executivo, para apreciar e julgar as defesas prévias e os recursos de 1ª instância no prazo de até 30 (trinta) dias;</w:t>
      </w:r>
    </w:p>
    <w:p w14:paraId="0D5048B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b) Das decisões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indeferitórias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proferidas pela CJRPM, caberá recurso de 2ª e última instância administrativa dirigido diretamente à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Prefeita Municipal</w:t>
      </w:r>
      <w:r w:rsidRPr="00EF727D">
        <w:rPr>
          <w:rFonts w:ascii="Times New Roman" w:eastAsia="Calibri" w:hAnsi="Times New Roman" w:cs="Times New Roman"/>
          <w:sz w:val="21"/>
          <w:szCs w:val="21"/>
        </w:rPr>
        <w:t>, a ser interposto no prazo de 15 (quinze) dias contados da respectiva notificação.</w:t>
      </w:r>
    </w:p>
    <w:p w14:paraId="5C03038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Parágrafo único.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exercício da função de membro da CJRPM não será remunerado, sendo considerado serviço público relevante.</w:t>
      </w:r>
    </w:p>
    <w:p w14:paraId="7AAA2FF8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CAPÍTULO IX</w:t>
      </w:r>
    </w:p>
    <w:p w14:paraId="6DFF4191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DAS DISPOSIÇÕES FINAIS E TRANSITÓRIAS</w:t>
      </w:r>
    </w:p>
    <w:p w14:paraId="748336E8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27.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destinação e a aplicação das receitas auferidas pelo Município reger-se-ão pelos seguintes critérios orçamentários:</w:t>
      </w:r>
    </w:p>
    <w:p w14:paraId="68DE5D6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 - Cota-parte das Multas de Trânsito (CTB):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Os 35% (trinta e cinco por cento) transferidos ao Município por força da Cláusula Oitava do Convênio de Trânsito nº 04/DETRAN/2026 serão aplicados obrigatoriamente pela Secretaria Municipal de Planejamento nas finalidades do art. 320 do CTB; </w:t>
      </w:r>
    </w:p>
    <w:p w14:paraId="35B1899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II - Multas Administrativas de Postura Municipal (2 </w:t>
      </w:r>
      <w:proofErr w:type="spellStart"/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UFMs</w:t>
      </w:r>
      <w:proofErr w:type="spellEnd"/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):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montante total efetivamente arrecadado pela aplicação das penalidades de postura instituídas nesta Lei será partilhado na seguinte proporção:</w:t>
      </w:r>
    </w:p>
    <w:p w14:paraId="76F82B8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a) 40% (quarenta por cento) repassados à Polícia Militar do Estado de Santa Catarina (PMSC)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mediante crédito em conta específica do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Fundo de Melhoria da Polícia Militar (FUMPOM)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vinculados obrigatoriamente à Organização Policial Militar sediada no Município de Dionísio Cerqueira/SC, a título de custeio operacional, manutenção de viaturas, aquisição de equipamentos e compensação pelos serviços de fiscalização do ordenamento urbano; </w:t>
      </w:r>
    </w:p>
    <w:p w14:paraId="29AB2420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b) 60% (sessenta por cento) geridos pela Secretaria Municipal de Planejamento</w:t>
      </w:r>
      <w:r w:rsidRPr="00EF727D">
        <w:rPr>
          <w:rFonts w:ascii="Times New Roman" w:eastAsia="Calibri" w:hAnsi="Times New Roman" w:cs="Times New Roman"/>
          <w:sz w:val="21"/>
          <w:szCs w:val="21"/>
        </w:rPr>
        <w:t>, destinados à implantação e manutenção de sinalização viária, obras de acessibilidade e campanhas permanentes de educação para o trânsito.</w:t>
      </w:r>
    </w:p>
    <w:p w14:paraId="2595B51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28.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Poder Executivo regulamentará por Decreto as rotinas de cadastramento presencial e eletrônico, os fluxos do pátio público municipal e o modelo dos selos de identificação visual.</w:t>
      </w:r>
    </w:p>
    <w:p w14:paraId="7B52236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Art. 29.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Esta Lei entra em vigor no dia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1º de janeiro de 2027</w:t>
      </w:r>
      <w:r w:rsidRPr="00EF727D">
        <w:rPr>
          <w:rFonts w:ascii="Times New Roman" w:eastAsia="Calibri" w:hAnsi="Times New Roman" w:cs="Times New Roman"/>
          <w:sz w:val="21"/>
          <w:szCs w:val="21"/>
        </w:rPr>
        <w:t>, período durante o qual o Poder Executivo Municipal promoverá campanhas permanentes de divulgação, ações educativas nas escolas e a implementação prévia da infraestrutura do Cadastro Municipal.</w:t>
      </w:r>
    </w:p>
    <w:p w14:paraId="192508A7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Dionísio Cerqueira/SC, em 26 de outubro de 2026.</w:t>
      </w:r>
    </w:p>
    <w:p w14:paraId="3CC9A73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1F21AE52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BIANCA MOREIRA MARAN BERTAMONI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</w:t>
      </w:r>
    </w:p>
    <w:p w14:paraId="6A294D7D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Prefeita Municipal</w:t>
      </w:r>
    </w:p>
    <w:p w14:paraId="4D8E9C1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307C6FE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C6A02E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59FDF88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F3393F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8BFD3B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22A698C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0F85A827" w14:textId="77777777" w:rsidR="00EF727D" w:rsidRPr="00EF727D" w:rsidRDefault="00EF727D" w:rsidP="00EF727D">
      <w:pPr>
        <w:spacing w:before="120" w:after="120" w:line="256" w:lineRule="auto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1590A089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ANEXO I</w:t>
      </w:r>
    </w:p>
    <w:p w14:paraId="686B5C5E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TERMO DE RESPONSABILIDADE E COMPROMISSO</w:t>
      </w:r>
    </w:p>
    <w:p w14:paraId="79C36F9E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(Condutores Menores de Idade de 14 a 17 Anos)</w:t>
      </w:r>
    </w:p>
    <w:p w14:paraId="59208BAE" w14:textId="77777777" w:rsidR="00EF727D" w:rsidRDefault="00EF727D" w:rsidP="00EF727D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99DE8B3" w14:textId="244A8016" w:rsidR="00EF727D" w:rsidRPr="00EF727D" w:rsidRDefault="00EF727D" w:rsidP="00EF727D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Eu, _______________________________________________________________, nacionalidade: _________________, profissão: _________________, portador(a) da Cédula de Identidade RG nº ______________ SSP/____ e inscrito(a) no CPF/MF sob o nº ______________________, residente e domiciliado(a) na Rua/Avenida _______________________________________________________, nº _______, Bairro _______________________________, Município de Dionísio Cerqueira/SC, </w:t>
      </w: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DECLARO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perante o Poder Executivo Municipal de Dionísio Cerqueira, para todos os efeitos de direito, que sou legalmente responsável (Pai/Mãe/Tutor) pelo(a) menor ______________________________________________________, nascido(a) em ____/____/______, portador(a) do RG nº ________________ e CPF nº ____________________.</w:t>
      </w:r>
    </w:p>
    <w:p w14:paraId="19F4EEE0" w14:textId="77777777" w:rsidR="00EF727D" w:rsidRPr="00EF727D" w:rsidRDefault="00EF727D" w:rsidP="00EF727D">
      <w:pPr>
        <w:numPr>
          <w:ilvl w:val="0"/>
          <w:numId w:val="5"/>
        </w:numPr>
        <w:spacing w:before="120" w:after="120" w:line="25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AUTORIZAÇÃO DE CONDUÇÃO: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Na qualidade de responsável legal, autorizo o(a) menor sobredito(a) a conduzir em vias urbanas municipais o seguinte equipamento: </w:t>
      </w:r>
      <w:proofErr w:type="gramStart"/>
      <w:r w:rsidRPr="00EF727D">
        <w:rPr>
          <w:rFonts w:ascii="Times New Roman" w:eastAsia="Calibri" w:hAnsi="Times New Roman" w:cs="Times New Roman"/>
          <w:sz w:val="18"/>
          <w:szCs w:val="18"/>
        </w:rPr>
        <w:t>( )</w:t>
      </w:r>
      <w:proofErr w:type="gramEnd"/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Bicicleta Elétrica / </w:t>
      </w:r>
      <w:proofErr w:type="gramStart"/>
      <w:r w:rsidRPr="00EF727D">
        <w:rPr>
          <w:rFonts w:ascii="Times New Roman" w:eastAsia="Calibri" w:hAnsi="Times New Roman" w:cs="Times New Roman"/>
          <w:sz w:val="18"/>
          <w:szCs w:val="18"/>
        </w:rPr>
        <w:t>( )</w:t>
      </w:r>
      <w:proofErr w:type="gramEnd"/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Equipamento Autopropelido (Patinete/Monociclo), marca/modelo: _____________________________, chassi/série: ____________________________, atestando que o mesmo possui pleno discernimento, equilíbrio físico e conhecimento das regras básicas de circulação urbana.</w:t>
      </w:r>
    </w:p>
    <w:p w14:paraId="647CC4AA" w14:textId="77777777" w:rsidR="00EF727D" w:rsidRPr="00EF727D" w:rsidRDefault="00EF727D" w:rsidP="00EF727D">
      <w:pPr>
        <w:numPr>
          <w:ilvl w:val="0"/>
          <w:numId w:val="5"/>
        </w:num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OBRIGAÇÃO DE INSTRUÇÃO E SEGURANÇA: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Comprometo-me formalmente a fiscalizar e exigir do menor o uso indispensável e contínuo do </w:t>
      </w: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capacete de segurança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, o respeito às regras da sinalização de trânsito (“PARE”, semáforos e rotatórias), a proibição de uso de celular e fones de ouvido durante a marcha e a proibição de tráfego sobre calçadas com motor ligado. </w:t>
      </w:r>
    </w:p>
    <w:p w14:paraId="21919DED" w14:textId="77777777" w:rsidR="00EF727D" w:rsidRPr="00EF727D" w:rsidRDefault="00EF727D" w:rsidP="00EF727D">
      <w:pPr>
        <w:numPr>
          <w:ilvl w:val="0"/>
          <w:numId w:val="5"/>
        </w:num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RESPONSABILIDADE CIVIL E REGRESSO: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Declaro ter pleno conhecimento dos </w:t>
      </w:r>
      <w:proofErr w:type="spellStart"/>
      <w:r w:rsidRPr="00EF727D">
        <w:rPr>
          <w:rFonts w:ascii="Times New Roman" w:eastAsia="Calibri" w:hAnsi="Times New Roman" w:cs="Times New Roman"/>
          <w:sz w:val="18"/>
          <w:szCs w:val="18"/>
        </w:rPr>
        <w:t>arts</w:t>
      </w:r>
      <w:proofErr w:type="spellEnd"/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. 932, I, e 933 do Código Civil Brasileiro, assumindo integral e solidária </w:t>
      </w: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responsabilidade civil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por todos e quaisquer acidentes, danos patrimoniais, despesas médicas, lesões físicas ou morais causadas a terceiros, a outros veículos ou aos bens públicos do Município de Dionísio Cerqueira decorrentes da condução do veículo pelo menor sob minha guarda, autorizando desde já a cobrança direta e o ajuizamento de ação de regresso pela Assessoria-Geral do Município.</w:t>
      </w:r>
    </w:p>
    <w:p w14:paraId="6A6463B6" w14:textId="77777777" w:rsidR="00EF727D" w:rsidRPr="00EF727D" w:rsidRDefault="00EF727D" w:rsidP="00EF727D">
      <w:pPr>
        <w:numPr>
          <w:ilvl w:val="0"/>
          <w:numId w:val="5"/>
        </w:num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VINCULAÇÃO DAS MULTAS:</w:t>
      </w: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Reconheço que eventuais Autos de Infração Administrativa Municipal decorrentes de condutas irregulares do menor serão lavrados, expedidos e cobrados diretamente em meu Cadastro de Pessoa Física (CPF), sujeitando-se à inscrição em Dívida Ativa Municipal em caso de inadimplemento.</w:t>
      </w:r>
    </w:p>
    <w:p w14:paraId="28523C6C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sz w:val="18"/>
          <w:szCs w:val="18"/>
        </w:rPr>
        <w:t>Por ser a expressão fiel da verdade e assumindo a responsabilidade legal pelos termos firmados, subscrevo o presente instrumento.</w:t>
      </w:r>
    </w:p>
    <w:p w14:paraId="75E4C603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Dionísio Cerqueira/SC, _____ de _________________ </w:t>
      </w:r>
      <w:proofErr w:type="spellStart"/>
      <w:r w:rsidRPr="00EF727D">
        <w:rPr>
          <w:rFonts w:ascii="Times New Roman" w:eastAsia="Calibri" w:hAnsi="Times New Roman" w:cs="Times New Roman"/>
          <w:sz w:val="18"/>
          <w:szCs w:val="18"/>
        </w:rPr>
        <w:t>de</w:t>
      </w:r>
      <w:proofErr w:type="spellEnd"/>
      <w:r w:rsidRPr="00EF727D">
        <w:rPr>
          <w:rFonts w:ascii="Times New Roman" w:eastAsia="Calibri" w:hAnsi="Times New Roman" w:cs="Times New Roman"/>
          <w:sz w:val="18"/>
          <w:szCs w:val="18"/>
        </w:rPr>
        <w:t xml:space="preserve"> _________.</w:t>
      </w:r>
    </w:p>
    <w:p w14:paraId="648D459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AB2BBD9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F727D">
        <w:rPr>
          <w:rFonts w:ascii="Times New Roman" w:eastAsia="Calibri" w:hAnsi="Times New Roman" w:cs="Times New Roman"/>
          <w:sz w:val="18"/>
          <w:szCs w:val="18"/>
        </w:rPr>
        <w:t>___________________________________________________</w:t>
      </w:r>
    </w:p>
    <w:p w14:paraId="55DD2416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EF727D">
        <w:rPr>
          <w:rFonts w:ascii="Times New Roman" w:eastAsia="Calibri" w:hAnsi="Times New Roman" w:cs="Times New Roman"/>
          <w:b/>
          <w:bCs/>
          <w:sz w:val="18"/>
          <w:szCs w:val="18"/>
        </w:rPr>
        <w:t>Assinatura do Pai, Mãe ou Responsável Legal</w:t>
      </w:r>
    </w:p>
    <w:p w14:paraId="1FBE38EF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F9AF39A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56803F6C" w14:textId="77777777" w:rsid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6FA1C3E1" w14:textId="77777777" w:rsid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77B05AE" w14:textId="77777777" w:rsid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2220AB91" w14:textId="77777777" w:rsidR="00EF727D" w:rsidRPr="00EF727D" w:rsidRDefault="00EF727D" w:rsidP="00EF727D">
      <w:pPr>
        <w:spacing w:before="120" w:after="120" w:line="25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110E0255" w14:textId="77777777" w:rsidR="00EF727D" w:rsidRPr="00EF727D" w:rsidRDefault="00EF727D" w:rsidP="00EF727D">
      <w:pPr>
        <w:spacing w:before="120" w:after="120" w:line="256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JUSTIFICATIVA</w:t>
      </w:r>
    </w:p>
    <w:p w14:paraId="617C202A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1EAC851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Excelentíssimo Senhor Presidente,</w:t>
      </w:r>
    </w:p>
    <w:p w14:paraId="5713BC31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Excelentíssimos Senhores Vereadores e Senhora Vereadora,</w:t>
      </w:r>
    </w:p>
    <w:p w14:paraId="2B278BE1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272DF5AE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O Poder Executivo Municipal submete à deliberação desse colendo Parlamento o anexo Projeto de Lei Ordinária, concebido com a precípua finalidade de disciplinar a circulação de ciclomotores, bicicletas elétricas e equipamentos autopropelidos em nosso território, assegurando o ordenamento do solo urbano, a fluidez do tráfego e, acima de tudo, a incolumidade física de condutores e pedestres. </w:t>
      </w:r>
    </w:p>
    <w:p w14:paraId="2936DDDE" w14:textId="77777777" w:rsidR="00EF727D" w:rsidRPr="00EF727D" w:rsidRDefault="00EF727D" w:rsidP="00EF727D">
      <w:pPr>
        <w:numPr>
          <w:ilvl w:val="0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Contexto Social e Diálogo Interinstitucional:</w:t>
      </w:r>
    </w:p>
    <w:p w14:paraId="38EA5654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O perímetro urbano de Dionísio Cerqueira tem experimentado uma expressiva expansão no uso de equipamentos de micromobilidade elétrica e ciclomotores. </w:t>
      </w:r>
    </w:p>
    <w:p w14:paraId="10FEB5B3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Trata-se de tendência irreversível e benéfica sob o prisma ecológico, mas que demanda regras de convivência para coibir a circulação desordenada em velocidades incompatíveis com os espaços de pedestres, a condução inconsequente por menores sem equipamentos protetivos e a circulação de veículos de baixa velocidade nas pistas de rolamento de rodovias federais que cortam a malha urbana.</w:t>
      </w:r>
    </w:p>
    <w:p w14:paraId="168D5E0F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A presente iniciativa legislativa harmoniza o planejamento técnico setorial deflagrado pelo Poder Executivo com a atuação do Ministério Público do Estado de Santa Catarina (MPSC), atendendo plenamente à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Recomendação nº 0001/2026/01PJ/DCE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(Procedimento Administrativo de acompanhamento de Políticas Públicas nº 09.2025.00007140-2). Por meio desse instrumento, o órgão ministerial instou o Município a conferir segurança jurídica à fiscalização e disciplinar o uso compartilhado do espaço público. </w:t>
      </w:r>
    </w:p>
    <w:p w14:paraId="485E2A9C" w14:textId="77777777" w:rsidR="00EF727D" w:rsidRPr="00EF727D" w:rsidRDefault="00EF727D" w:rsidP="00EF727D">
      <w:pPr>
        <w:numPr>
          <w:ilvl w:val="0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Competência Constitucional e Alinhamento Técnico Federal</w:t>
      </w:r>
    </w:p>
    <w:p w14:paraId="5F956F3F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A iniciativa ampara-se no bloco de constitucionalidade e legalidade que rege as competências do Ente Federado Municipal:</w:t>
      </w:r>
    </w:p>
    <w:p w14:paraId="02D9B628" w14:textId="77777777" w:rsidR="00EF727D" w:rsidRPr="00EF727D" w:rsidRDefault="00EF727D" w:rsidP="00EF727D">
      <w:pPr>
        <w:numPr>
          <w:ilvl w:val="0"/>
          <w:numId w:val="7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Interesse Local e Ordenamento Viário: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Constituição Federal, em seu art. 30, incisos I e VIII, confere aos Municípios a atribuição privativa para legislar sobre assuntos de interesse local e promover o adequado ordenamento territorial;</w:t>
      </w:r>
    </w:p>
    <w:p w14:paraId="752DD014" w14:textId="77777777" w:rsidR="00EF727D" w:rsidRPr="00EF727D" w:rsidRDefault="00EF727D" w:rsidP="00EF727D">
      <w:pPr>
        <w:spacing w:after="120" w:line="256" w:lineRule="auto"/>
        <w:ind w:left="927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9948E45" w14:textId="77777777" w:rsidR="00EF727D" w:rsidRPr="00EF727D" w:rsidRDefault="00EF727D" w:rsidP="00EF727D">
      <w:pPr>
        <w:numPr>
          <w:ilvl w:val="0"/>
          <w:numId w:val="7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Competência Viária Suplementar: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art. 24, inciso II, da Lei Federal nº 9.503/1997 (CTB) atribui expressamente ao órgão executivo municipal a competência para </w:t>
      </w:r>
      <w:r w:rsidRPr="00EF727D">
        <w:rPr>
          <w:rFonts w:ascii="Times New Roman" w:eastAsia="Calibri" w:hAnsi="Times New Roman" w:cs="Times New Roman"/>
          <w:i/>
          <w:iCs/>
          <w:sz w:val="21"/>
          <w:szCs w:val="21"/>
        </w:rPr>
        <w:t>“planejar, projetar, regulamentar e operar o trânsito de veículos, de pedestres e de animais e promover o desenvolvimento (...) da circulação, da segurança e das áreas de proteção de ciclistas”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; </w:t>
      </w:r>
    </w:p>
    <w:p w14:paraId="5322D956" w14:textId="77777777" w:rsidR="00EF727D" w:rsidRPr="00EF727D" w:rsidRDefault="00EF727D" w:rsidP="00EF727D">
      <w:pPr>
        <w:spacing w:after="120" w:line="256" w:lineRule="auto"/>
        <w:ind w:left="927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AF8A436" w14:textId="77777777" w:rsidR="00EF727D" w:rsidRPr="00EF727D" w:rsidRDefault="00EF727D" w:rsidP="00EF727D">
      <w:pPr>
        <w:numPr>
          <w:ilvl w:val="0"/>
          <w:numId w:val="7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Parâmetros Técnicos Nacionais: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O projeto adota de modo estrito as classificações operacionais, potências e limites construtivos ditados pela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Resolução CONTRAN nº 996/2023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: </w:t>
      </w:r>
    </w:p>
    <w:p w14:paraId="2FC0A201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iCs/>
          <w:sz w:val="21"/>
          <w:szCs w:val="21"/>
        </w:rPr>
      </w:pPr>
    </w:p>
    <w:p w14:paraId="0C13D9E8" w14:textId="77777777" w:rsidR="00EF727D" w:rsidRPr="00EF727D" w:rsidRDefault="00EF727D" w:rsidP="00EF727D">
      <w:pPr>
        <w:numPr>
          <w:ilvl w:val="0"/>
          <w:numId w:val="8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i/>
          <w:iCs/>
          <w:sz w:val="21"/>
          <w:szCs w:val="21"/>
        </w:rPr>
        <w:t>Ciclomotores: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veículos de 2 ou 3 rodas, até 50 cm³ ou 4 kW de motor elétrico, e velocidade máxima de fabricação de 50 km/h; </w:t>
      </w:r>
    </w:p>
    <w:p w14:paraId="709B4F14" w14:textId="77777777" w:rsidR="00EF727D" w:rsidRPr="00EF727D" w:rsidRDefault="00EF727D" w:rsidP="00EF727D">
      <w:pPr>
        <w:spacing w:after="120" w:line="256" w:lineRule="auto"/>
        <w:ind w:left="1647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11359C24" w14:textId="77777777" w:rsidR="00EF727D" w:rsidRPr="00EF727D" w:rsidRDefault="00EF727D" w:rsidP="00EF727D">
      <w:pPr>
        <w:numPr>
          <w:ilvl w:val="0"/>
          <w:numId w:val="8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i/>
          <w:iCs/>
          <w:sz w:val="21"/>
          <w:szCs w:val="21"/>
        </w:rPr>
        <w:lastRenderedPageBreak/>
        <w:t>Bicicletas Elétricas: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propulsão humana com motor auxiliar de até 1000 W, funcionamento exclusivo sob pedal assistido e corte de propulsão a 32 km/h; </w:t>
      </w:r>
    </w:p>
    <w:p w14:paraId="50B3DDE1" w14:textId="77777777" w:rsidR="00EF727D" w:rsidRPr="00EF727D" w:rsidRDefault="00EF727D" w:rsidP="00EF727D">
      <w:pPr>
        <w:spacing w:after="120" w:line="256" w:lineRule="auto"/>
        <w:ind w:left="1647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1F53E18C" w14:textId="77777777" w:rsidR="00EF727D" w:rsidRPr="00EF727D" w:rsidRDefault="00EF727D" w:rsidP="00EF727D">
      <w:pPr>
        <w:numPr>
          <w:ilvl w:val="0"/>
          <w:numId w:val="8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i/>
          <w:iCs/>
          <w:sz w:val="21"/>
          <w:szCs w:val="21"/>
        </w:rPr>
        <w:t>Autopropelidos: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equipamentos com uma ou mais rodas, motor de até 1000 W (ou até 4000 W em monociclos </w:t>
      </w:r>
      <w:proofErr w:type="spellStart"/>
      <w:r w:rsidRPr="00EF727D">
        <w:rPr>
          <w:rFonts w:ascii="Times New Roman" w:eastAsia="Calibri" w:hAnsi="Times New Roman" w:cs="Times New Roman"/>
          <w:sz w:val="21"/>
          <w:szCs w:val="21"/>
        </w:rPr>
        <w:t>autoequilibrados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), dimensões contidas e velocidade máxima fabril de 32 km/h. </w:t>
      </w:r>
    </w:p>
    <w:p w14:paraId="70008568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1"/>
          <w:szCs w:val="21"/>
        </w:rPr>
      </w:pPr>
    </w:p>
    <w:p w14:paraId="5F0AE6E8" w14:textId="77777777" w:rsidR="00EF727D" w:rsidRPr="00EF727D" w:rsidRDefault="00EF727D" w:rsidP="00EF727D">
      <w:pPr>
        <w:numPr>
          <w:ilvl w:val="0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Eixos Estruturantes da Proposição:</w:t>
      </w:r>
    </w:p>
    <w:p w14:paraId="40494380" w14:textId="77777777" w:rsidR="00EF727D" w:rsidRPr="00EF727D" w:rsidRDefault="00EF727D" w:rsidP="00EF727D">
      <w:pPr>
        <w:spacing w:after="120" w:line="256" w:lineRule="auto"/>
        <w:ind w:left="927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55AF4A95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Segregação Viária e Proteção Absoluta ao Pedestre: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Calçadas, calçadões e passeios destinam-se precipuamente a quem caminha. O projeto proíbe terminantemente a circulação montada e com motor ligado sobre calçadas, impondo ao condutor o dever de desmontar e empurrar o equipamento desligado (art. 8º, § 1º, e art. 11). Ficam resguardadas as cadeiras de rodas motorizadas e equipamentos voltados a pessoas com deficiência ou mobilidade reduzida (art. 12, § 2º). </w:t>
      </w:r>
    </w:p>
    <w:p w14:paraId="40CD221A" w14:textId="77777777" w:rsidR="00EF727D" w:rsidRPr="00EF727D" w:rsidRDefault="00EF727D" w:rsidP="00EF727D">
      <w:pPr>
        <w:spacing w:after="120" w:line="256" w:lineRule="auto"/>
        <w:ind w:left="927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18A20F79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Equipamentos de Segurança e Uso Obrigatório do Capacete: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Em respeito à preservação da vida e às orientações médicas de traumatologia, o projeto torna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obrigatório o uso de capacete para todos os modais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estabelecendo o padrão motociclístico com viseira para ciclomotores e o capacete ciclístico (NBR 16.175) para bicicletas elétricas e autopropelidos (art. 14). São exigidos itens indispensáveis de sinalização visual noturna, indicador de velocidade, espelho retrovisor e campainha/buzina (art. 15). </w:t>
      </w:r>
    </w:p>
    <w:p w14:paraId="1C384823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36341C84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Cadastro Municipal e Responsabilização dos Pais: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proposta cria o Cadastro Municipal Obrigatório para condutores sem CNH/ACC e para menores entre 14 e 17 anos (art. 17). Veda-se a condução por menores de 14 anos nas vias públicas. Para a faixa de 14 a 17 anos, exige-se a assinatura presencial do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Termo de Responsabilidade e Compromisso (Anexo I)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por um dos pais, que assume expressamente a obrigação de saldar as multas administrativas e responder civil e solidariamente por eventuais danos causados a terceiros ou ao erário municipal, nos moldes dos artigos 932, I, e 933 do Código Civil Brasileiro.</w:t>
      </w:r>
    </w:p>
    <w:p w14:paraId="0836B778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36291CF5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Integração Regional no Consórcio Intermunicipal da Fronteira (CIF):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Em atenção à realidade conurbada de fronteira e com respaldo na Lei Federal nº 11.107/2005 (Lei dos Consórcios Públicos), o projeto consagra a reciprocidade regional: condutores residentes em Barracão/PR ou Bom Jesus do Sul/PR com cadastro ativo em seus municípios ficam desobrigados de novo registro em Dionísio Cerqueira (art. 19), eliminando embaraços burocráticos ao cidadão fronteiriço.</w:t>
      </w:r>
    </w:p>
    <w:p w14:paraId="6248BCD7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1B817C25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Fiscalização Cooperada e Poder de Polícia da PMSC: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Valendo-se das balizas do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Convênio de Trânsito nº 04/DETRAN/2026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celebrado pelo Município, outorga-se à Polícia Militar de Santa Catarina o poder-dever de fiscalizar, reter equipamentos irregulares e lavrar Autos de Infração Administrativa de Postura Municipal (art. 19 e art. 20). Fixa-se a multa de postura no valor de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2 (duas) </w:t>
      </w:r>
      <w:proofErr w:type="spellStart"/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UFMs</w:t>
      </w:r>
      <w:proofErr w:type="spellEnd"/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com dobra em caso de reincidência (art. 23). </w:t>
      </w:r>
    </w:p>
    <w:p w14:paraId="51844A78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5B29ABD1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Garantias Processuais e Instâncias Recursais: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Distinguem-se claramente as esferas punitivas: recursos contra multas do CTB seguem o rito da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JARI do DETRAN/SC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(Cláusula Sexta do Convênio); já as infrações de postura municipal serão apreciadas em </w:t>
      </w:r>
      <w:r w:rsidRPr="00EF727D">
        <w:rPr>
          <w:rFonts w:ascii="Times New Roman" w:eastAsia="Calibri" w:hAnsi="Times New Roman" w:cs="Times New Roman"/>
          <w:sz w:val="21"/>
          <w:szCs w:val="21"/>
        </w:rPr>
        <w:lastRenderedPageBreak/>
        <w:t xml:space="preserve">primeira instância pela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Comissão Julgadora de Recursos de Posturas Municipais (CJRPM)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órgão colegiado de servidores sem ônus ao erário, cabendo recurso final à Prefeita Municipal (art. 26). </w:t>
      </w:r>
    </w:p>
    <w:p w14:paraId="68B1630A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783168F8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Compensação Financeira à PMSC (FUMPOM) e Reinvestimento Social: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Como justa contrapartida pela assunção da fiscalização de campo das posturas locais, o art. 27 destina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40% da arrecadação líquida das multas municipais ao Fundo de Melhoria da Polícia Militar (FUMPOM)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, com destinação vinculada e exclusiva ao custeio operacional, manutenção de viaturas e equipamentos da fração da PMSC em Dionísio Cerqueira. Os 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60% restantes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ficam carimbados para a Secretaria Municipal de Planejamento investir em sinalização viária, acessibilidade, ciclovias e educação de trânsito. </w:t>
      </w:r>
    </w:p>
    <w:p w14:paraId="1A94F958" w14:textId="77777777" w:rsidR="00EF727D" w:rsidRPr="00EF727D" w:rsidRDefault="00EF727D" w:rsidP="00EF727D">
      <w:pPr>
        <w:spacing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602E5333" w14:textId="77777777" w:rsidR="00EF727D" w:rsidRPr="00EF727D" w:rsidRDefault="00EF727D" w:rsidP="00EF727D">
      <w:pPr>
        <w:numPr>
          <w:ilvl w:val="1"/>
          <w:numId w:val="6"/>
        </w:numPr>
        <w:spacing w:after="12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proofErr w:type="spellStart"/>
      <w:r w:rsidRPr="00EF727D">
        <w:rPr>
          <w:rFonts w:ascii="Times New Roman" w:eastAsia="Calibri" w:hAnsi="Times New Roman" w:cs="Times New Roman"/>
          <w:b/>
          <w:bCs/>
          <w:i/>
          <w:iCs/>
          <w:sz w:val="21"/>
          <w:szCs w:val="21"/>
        </w:rPr>
        <w:t>Vacatio</w:t>
      </w:r>
      <w:proofErr w:type="spellEnd"/>
      <w:r w:rsidRPr="00EF727D">
        <w:rPr>
          <w:rFonts w:ascii="Times New Roman" w:eastAsia="Calibri" w:hAnsi="Times New Roman" w:cs="Times New Roman"/>
          <w:b/>
          <w:bCs/>
          <w:i/>
          <w:iCs/>
          <w:sz w:val="21"/>
          <w:szCs w:val="21"/>
        </w:rPr>
        <w:t xml:space="preserve"> Legis</w:t>
      </w: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 Educativa (1º de janeiro de 2027):</w:t>
      </w:r>
      <w:r w:rsidRPr="00EF727D">
        <w:rPr>
          <w:rFonts w:ascii="Times New Roman" w:eastAsia="Calibri" w:hAnsi="Times New Roman" w:cs="Times New Roman"/>
          <w:sz w:val="21"/>
          <w:szCs w:val="21"/>
        </w:rPr>
        <w:t xml:space="preserve"> A vigência fixada para o início do exercício de 2027 assegura uma janela temporal estratégica e necessária para que o Poder Executivo promova ampla divulgação, estruture os módulos de atendimento do Cadastro Municipal e realize campanhas pedagógicas nas unidades escolares antes da imposição de quaisquer penalidades pecuniárias (art. 29).</w:t>
      </w:r>
    </w:p>
    <w:p w14:paraId="6C3AA823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Fundamentado em preceitos de prudência administrativa, inovação regulatória e proporcionalidade, submete-se o presente Projeto de Lei ao crivo soberano dos membros desta Casa Legislativa, confiando-se em sua célere aprovação em prol da segurança e da ordem pública de Dionísio Cerqueira.</w:t>
      </w:r>
    </w:p>
    <w:p w14:paraId="2151340A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Dionísio Cerqueira/SC, 26 de outubro de 2026.</w:t>
      </w:r>
    </w:p>
    <w:p w14:paraId="434617B5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Atenciosamente,</w:t>
      </w:r>
    </w:p>
    <w:p w14:paraId="73085DCE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</w:p>
    <w:p w14:paraId="2303ACFC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b/>
          <w:bCs/>
          <w:sz w:val="21"/>
          <w:szCs w:val="21"/>
        </w:rPr>
        <w:t>BIANCA MOREIRA MARAN BERTAMONI</w:t>
      </w:r>
    </w:p>
    <w:p w14:paraId="5F1010D8" w14:textId="77777777" w:rsidR="00EF727D" w:rsidRPr="00EF727D" w:rsidRDefault="00EF727D" w:rsidP="00EF727D">
      <w:pPr>
        <w:spacing w:after="120" w:line="256" w:lineRule="auto"/>
        <w:ind w:firstLine="567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27D">
        <w:rPr>
          <w:rFonts w:ascii="Times New Roman" w:eastAsia="Calibri" w:hAnsi="Times New Roman" w:cs="Times New Roman"/>
          <w:sz w:val="21"/>
          <w:szCs w:val="21"/>
        </w:rPr>
        <w:t>Prefeita Municipal</w:t>
      </w:r>
    </w:p>
    <w:p w14:paraId="32F9C81E" w14:textId="77777777" w:rsidR="00EF727D" w:rsidRDefault="00EF727D" w:rsidP="00D6631A">
      <w:pPr>
        <w:spacing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pt-BR"/>
          <w14:ligatures w14:val="none"/>
        </w:rPr>
      </w:pPr>
    </w:p>
    <w:p w14:paraId="62FF53EF" w14:textId="77777777" w:rsidR="001A5C02" w:rsidRDefault="001A5C02">
      <w:pPr>
        <w:rPr>
          <w:rFonts w:ascii="Times New Roman" w:hAnsi="Times New Roman" w:cs="Times New Roman"/>
          <w:b/>
          <w:bCs/>
        </w:rPr>
      </w:pPr>
    </w:p>
    <w:p w14:paraId="2777C4ED" w14:textId="77777777" w:rsidR="00EF727D" w:rsidRDefault="00EF727D"/>
    <w:sectPr w:rsidR="00EF727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5AA9" w14:textId="77777777" w:rsidR="007076FE" w:rsidRDefault="007076FE" w:rsidP="00E403B2">
      <w:pPr>
        <w:spacing w:after="0" w:line="240" w:lineRule="auto"/>
      </w:pPr>
      <w:r>
        <w:separator/>
      </w:r>
    </w:p>
  </w:endnote>
  <w:endnote w:type="continuationSeparator" w:id="0">
    <w:p w14:paraId="61E2AB3A" w14:textId="77777777" w:rsidR="007076FE" w:rsidRDefault="007076FE" w:rsidP="00E4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08E8" w14:textId="6E16A863" w:rsidR="00E403B2" w:rsidRDefault="00E403B2">
    <w:pPr>
      <w:pStyle w:val="Rodap"/>
    </w:pPr>
    <w:r>
      <w:rPr>
        <w:noProof/>
      </w:rPr>
      <w:drawing>
        <wp:inline distT="0" distB="0" distL="0" distR="0" wp14:anchorId="16F091DC" wp14:editId="53E0B1ED">
          <wp:extent cx="5395595" cy="609600"/>
          <wp:effectExtent l="0" t="0" r="0" b="0"/>
          <wp:docPr id="149418623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559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ECB21" w14:textId="77777777" w:rsidR="007076FE" w:rsidRDefault="007076FE" w:rsidP="00E403B2">
      <w:pPr>
        <w:spacing w:after="0" w:line="240" w:lineRule="auto"/>
      </w:pPr>
      <w:r>
        <w:separator/>
      </w:r>
    </w:p>
  </w:footnote>
  <w:footnote w:type="continuationSeparator" w:id="0">
    <w:p w14:paraId="17103300" w14:textId="77777777" w:rsidR="007076FE" w:rsidRDefault="007076FE" w:rsidP="00E40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C3827" w14:textId="1F7950E0" w:rsidR="00E403B2" w:rsidRDefault="00E403B2">
    <w:pPr>
      <w:pStyle w:val="Cabealho"/>
    </w:pPr>
    <w:r>
      <w:rPr>
        <w:noProof/>
      </w:rPr>
      <w:drawing>
        <wp:inline distT="0" distB="0" distL="0" distR="0" wp14:anchorId="6C4294DC" wp14:editId="0933B37C">
          <wp:extent cx="5401310" cy="1280160"/>
          <wp:effectExtent l="0" t="0" r="0" b="0"/>
          <wp:docPr id="17558884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280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A5B"/>
    <w:multiLevelType w:val="multilevel"/>
    <w:tmpl w:val="070A8C8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</w:lvl>
  </w:abstractNum>
  <w:abstractNum w:abstractNumId="1" w15:restartNumberingAfterBreak="0">
    <w:nsid w:val="2C8F35E6"/>
    <w:multiLevelType w:val="hybridMultilevel"/>
    <w:tmpl w:val="10CA7030"/>
    <w:lvl w:ilvl="0" w:tplc="0416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3C7A641A"/>
    <w:multiLevelType w:val="multilevel"/>
    <w:tmpl w:val="AF304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AE1402"/>
    <w:multiLevelType w:val="hybridMultilevel"/>
    <w:tmpl w:val="A82889E0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EC6289"/>
    <w:multiLevelType w:val="multilevel"/>
    <w:tmpl w:val="D930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E61A85"/>
    <w:multiLevelType w:val="hybridMultilevel"/>
    <w:tmpl w:val="393289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07E74"/>
    <w:multiLevelType w:val="hybridMultilevel"/>
    <w:tmpl w:val="0B7A8A80"/>
    <w:lvl w:ilvl="0" w:tplc="7FB0E126">
      <w:start w:val="1"/>
      <w:numFmt w:val="lowerLetter"/>
      <w:lvlText w:val="%1."/>
      <w:lvlJc w:val="left"/>
      <w:pPr>
        <w:ind w:left="927" w:hanging="360"/>
      </w:p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>
      <w:start w:val="1"/>
      <w:numFmt w:val="decimal"/>
      <w:lvlText w:val="%4."/>
      <w:lvlJc w:val="left"/>
      <w:pPr>
        <w:ind w:left="3087" w:hanging="360"/>
      </w:pPr>
    </w:lvl>
    <w:lvl w:ilvl="4" w:tplc="04160019">
      <w:start w:val="1"/>
      <w:numFmt w:val="lowerLetter"/>
      <w:lvlText w:val="%5."/>
      <w:lvlJc w:val="left"/>
      <w:pPr>
        <w:ind w:left="3807" w:hanging="360"/>
      </w:pPr>
    </w:lvl>
    <w:lvl w:ilvl="5" w:tplc="0416001B">
      <w:start w:val="1"/>
      <w:numFmt w:val="lowerRoman"/>
      <w:lvlText w:val="%6."/>
      <w:lvlJc w:val="right"/>
      <w:pPr>
        <w:ind w:left="4527" w:hanging="180"/>
      </w:pPr>
    </w:lvl>
    <w:lvl w:ilvl="6" w:tplc="0416000F">
      <w:start w:val="1"/>
      <w:numFmt w:val="decimal"/>
      <w:lvlText w:val="%7."/>
      <w:lvlJc w:val="left"/>
      <w:pPr>
        <w:ind w:left="5247" w:hanging="360"/>
      </w:pPr>
    </w:lvl>
    <w:lvl w:ilvl="7" w:tplc="04160019">
      <w:start w:val="1"/>
      <w:numFmt w:val="lowerLetter"/>
      <w:lvlText w:val="%8."/>
      <w:lvlJc w:val="left"/>
      <w:pPr>
        <w:ind w:left="5967" w:hanging="360"/>
      </w:pPr>
    </w:lvl>
    <w:lvl w:ilvl="8" w:tplc="0416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7375A26"/>
    <w:multiLevelType w:val="multilevel"/>
    <w:tmpl w:val="4A5C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124169">
    <w:abstractNumId w:val="5"/>
  </w:num>
  <w:num w:numId="2" w16cid:durableId="1308782580">
    <w:abstractNumId w:val="3"/>
  </w:num>
  <w:num w:numId="3" w16cid:durableId="1603682409">
    <w:abstractNumId w:val="7"/>
  </w:num>
  <w:num w:numId="4" w16cid:durableId="1055200692">
    <w:abstractNumId w:val="4"/>
  </w:num>
  <w:num w:numId="5" w16cid:durableId="17334983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6150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99584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797223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B2"/>
    <w:rsid w:val="00076344"/>
    <w:rsid w:val="00077C45"/>
    <w:rsid w:val="00093F5E"/>
    <w:rsid w:val="000C3FCE"/>
    <w:rsid w:val="001A5C02"/>
    <w:rsid w:val="002253C1"/>
    <w:rsid w:val="002477EA"/>
    <w:rsid w:val="003247D2"/>
    <w:rsid w:val="003B6FEC"/>
    <w:rsid w:val="003C4C0C"/>
    <w:rsid w:val="004B3D43"/>
    <w:rsid w:val="00514C17"/>
    <w:rsid w:val="00594B13"/>
    <w:rsid w:val="006C15E0"/>
    <w:rsid w:val="006C2790"/>
    <w:rsid w:val="007076FE"/>
    <w:rsid w:val="007E6A59"/>
    <w:rsid w:val="0085244F"/>
    <w:rsid w:val="00890329"/>
    <w:rsid w:val="00916C23"/>
    <w:rsid w:val="009B4330"/>
    <w:rsid w:val="00A82C2E"/>
    <w:rsid w:val="00C71DFA"/>
    <w:rsid w:val="00CB4231"/>
    <w:rsid w:val="00D6631A"/>
    <w:rsid w:val="00E2046D"/>
    <w:rsid w:val="00E403B2"/>
    <w:rsid w:val="00E90778"/>
    <w:rsid w:val="00EF727D"/>
    <w:rsid w:val="00F26220"/>
    <w:rsid w:val="00F4454D"/>
    <w:rsid w:val="00F5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CBE1A"/>
  <w15:chartTrackingRefBased/>
  <w15:docId w15:val="{B830B4D5-4342-46D3-A638-A138B07F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3B2"/>
  </w:style>
  <w:style w:type="paragraph" w:styleId="Ttulo1">
    <w:name w:val="heading 1"/>
    <w:basedOn w:val="Normal"/>
    <w:next w:val="Normal"/>
    <w:link w:val="Ttulo1Char"/>
    <w:uiPriority w:val="9"/>
    <w:qFormat/>
    <w:rsid w:val="00E40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0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0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0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0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0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0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0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0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0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0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0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03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03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03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03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03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03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0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0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40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40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0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03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03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03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0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03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03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0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3B2"/>
  </w:style>
  <w:style w:type="paragraph" w:styleId="Rodap">
    <w:name w:val="footer"/>
    <w:basedOn w:val="Normal"/>
    <w:link w:val="RodapChar"/>
    <w:uiPriority w:val="99"/>
    <w:unhideWhenUsed/>
    <w:rsid w:val="00E40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3B2"/>
  </w:style>
  <w:style w:type="character" w:styleId="Refdecomentrio">
    <w:name w:val="annotation reference"/>
    <w:basedOn w:val="Fontepargpadro"/>
    <w:uiPriority w:val="99"/>
    <w:semiHidden/>
    <w:unhideWhenUsed/>
    <w:rsid w:val="00E403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403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403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5552</Words>
  <Characters>29986</Characters>
  <Application>Microsoft Office Word</Application>
  <DocSecurity>0</DocSecurity>
  <Lines>249</Lines>
  <Paragraphs>70</Paragraphs>
  <ScaleCrop>false</ScaleCrop>
  <Company/>
  <LinksUpToDate>false</LinksUpToDate>
  <CharactersWithSpaces>35468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Ivonete</dc:creator>
  <cp:keywords/>
  <dc:description/>
  <cp:lastModifiedBy>Keno</cp:lastModifiedBy>
  <cp:revision>10</cp:revision>
  <dcterms:created xsi:type="dcterms:W3CDTF">2026-10-23T17:39:00Z</dcterms:created>
  <dcterms:modified xsi:type="dcterms:W3CDTF">2026-10-26T13:12:00Z</dcterms:modified>
</cp:coreProperties>
</file>